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75" w:beforeAutospacing="0" w:after="75" w:afterAutospacing="0" w:line="555" w:lineRule="atLeast"/>
        <w:rPr>
          <w:rFonts w:ascii="仿宋" w:hAnsi="仿宋" w:eastAsia="仿宋"/>
          <w:sz w:val="32"/>
          <w:szCs w:val="36"/>
        </w:rPr>
      </w:pPr>
      <w:r>
        <w:rPr>
          <w:rFonts w:hint="eastAsia" w:ascii="仿宋" w:hAnsi="仿宋" w:eastAsia="仿宋"/>
          <w:sz w:val="32"/>
          <w:szCs w:val="36"/>
        </w:rPr>
        <w:t>附件1</w:t>
      </w:r>
    </w:p>
    <w:p>
      <w:pPr>
        <w:pStyle w:val="6"/>
        <w:shd w:val="clear" w:color="auto" w:fill="FFFFFF"/>
        <w:spacing w:before="0" w:beforeAutospacing="0" w:after="240" w:afterAutospacing="0" w:line="555" w:lineRule="atLeast"/>
        <w:jc w:val="center"/>
        <w:rPr>
          <w:rFonts w:ascii="仿宋" w:hAnsi="仿宋" w:eastAsia="仿宋"/>
          <w:b/>
          <w:bCs/>
          <w:sz w:val="32"/>
          <w:szCs w:val="36"/>
        </w:rPr>
      </w:pPr>
      <w:r>
        <w:rPr>
          <w:rFonts w:hint="eastAsia" w:ascii="仿宋" w:hAnsi="仿宋" w:eastAsia="仿宋"/>
          <w:b/>
          <w:bCs/>
          <w:sz w:val="32"/>
          <w:szCs w:val="36"/>
        </w:rPr>
        <w:t>《服务清单征集表》</w:t>
      </w:r>
      <w:bookmarkStart w:id="0" w:name="_GoBack"/>
      <w:bookmarkEnd w:id="0"/>
    </w:p>
    <w:tbl>
      <w:tblPr>
        <w:tblStyle w:val="8"/>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3"/>
        <w:gridCol w:w="4123"/>
        <w:gridCol w:w="127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r>
              <w:rPr>
                <w:rFonts w:hint="eastAsia" w:ascii="仿宋" w:hAnsi="仿宋" w:eastAsia="仿宋" w:cstheme="minorBidi"/>
                <w:kern w:val="2"/>
                <w:sz w:val="28"/>
                <w:szCs w:val="28"/>
              </w:rPr>
              <w:t>服务信息名称</w:t>
            </w: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r>
              <w:rPr>
                <w:rFonts w:hint="eastAsia" w:ascii="仿宋" w:hAnsi="仿宋" w:eastAsia="仿宋" w:cstheme="minorBidi"/>
                <w:kern w:val="2"/>
                <w:sz w:val="28"/>
                <w:szCs w:val="28"/>
              </w:rPr>
              <w:t>单位名称</w:t>
            </w: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r>
              <w:rPr>
                <w:rFonts w:hint="eastAsia" w:ascii="仿宋" w:hAnsi="仿宋" w:eastAsia="仿宋" w:cstheme="minorBidi"/>
                <w:kern w:val="2"/>
                <w:sz w:val="28"/>
                <w:szCs w:val="28"/>
              </w:rPr>
              <w:t>联系人</w:t>
            </w: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r>
              <w:rPr>
                <w:rFonts w:hint="eastAsia" w:ascii="仿宋" w:hAnsi="仿宋" w:eastAsia="仿宋" w:cstheme="minorBidi"/>
                <w:kern w:val="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39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4123"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276"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c>
          <w:tcPr>
            <w:tcW w:w="1780" w:type="dxa"/>
            <w:vAlign w:val="center"/>
          </w:tcPr>
          <w:p>
            <w:pPr>
              <w:pStyle w:val="6"/>
              <w:adjustRightInd w:val="0"/>
              <w:snapToGrid w:val="0"/>
              <w:spacing w:before="0" w:beforeAutospacing="0" w:after="0" w:afterAutospacing="0"/>
              <w:jc w:val="center"/>
              <w:rPr>
                <w:rFonts w:ascii="仿宋" w:hAnsi="仿宋" w:eastAsia="仿宋"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9572" w:type="dxa"/>
            <w:gridSpan w:val="4"/>
            <w:vAlign w:val="center"/>
          </w:tcPr>
          <w:p>
            <w:pPr>
              <w:pStyle w:val="6"/>
              <w:adjustRightInd w:val="0"/>
              <w:snapToGrid w:val="0"/>
              <w:spacing w:before="0" w:beforeAutospacing="0" w:after="0" w:afterAutospacing="0"/>
              <w:rPr>
                <w:rFonts w:ascii="仿宋" w:hAnsi="仿宋" w:eastAsia="仿宋" w:cstheme="minorBidi"/>
                <w:kern w:val="2"/>
                <w:sz w:val="28"/>
                <w:szCs w:val="28"/>
              </w:rPr>
            </w:pPr>
            <w:r>
              <w:rPr>
                <w:rFonts w:hint="eastAsia" w:ascii="仿宋" w:hAnsi="仿宋" w:eastAsia="仿宋" w:cstheme="minorBidi"/>
                <w:b/>
                <w:bCs/>
                <w:kern w:val="2"/>
                <w:sz w:val="28"/>
                <w:szCs w:val="28"/>
              </w:rPr>
              <w:t>填表说明：</w:t>
            </w:r>
            <w:r>
              <w:rPr>
                <w:rFonts w:hint="eastAsia" w:ascii="仿宋" w:hAnsi="仿宋" w:eastAsia="仿宋" w:cstheme="minorBidi"/>
                <w:kern w:val="2"/>
                <w:sz w:val="28"/>
                <w:szCs w:val="28"/>
              </w:rPr>
              <w:t>本信息表可以是会员单位统一填写，也可以是会员单位所属分公司、子公司、所属部门或所属员工个人自行填写，学会都将逐一联系确认。</w:t>
            </w:r>
          </w:p>
        </w:tc>
      </w:tr>
    </w:tbl>
    <w:p>
      <w:pPr>
        <w:pStyle w:val="6"/>
        <w:shd w:val="clear" w:color="auto" w:fill="FFFFFF"/>
        <w:spacing w:before="75" w:beforeAutospacing="0" w:after="75" w:afterAutospacing="0" w:line="555" w:lineRule="atLeast"/>
        <w:rPr>
          <w:rFonts w:ascii="仿宋" w:hAnsi="仿宋" w:eastAsia="仿宋" w:cstheme="minorBidi"/>
          <w:kern w:val="2"/>
          <w:sz w:val="32"/>
          <w:szCs w:val="32"/>
        </w:rPr>
      </w:pPr>
      <w:r>
        <w:rPr>
          <w:rFonts w:hint="eastAsia" w:ascii="仿宋" w:hAnsi="仿宋" w:eastAsia="仿宋" w:cstheme="minorBidi"/>
          <w:kern w:val="2"/>
          <w:sz w:val="32"/>
          <w:szCs w:val="32"/>
        </w:rPr>
        <w:t>填表人（签/章）：                    填表日期：</w:t>
      </w:r>
    </w:p>
    <w:p>
      <w:pPr>
        <w:widowControl/>
        <w:jc w:val="left"/>
        <w:rPr>
          <w:rFonts w:ascii="仿宋" w:hAnsi="仿宋" w:eastAsia="仿宋"/>
          <w:sz w:val="32"/>
          <w:szCs w:val="32"/>
        </w:rPr>
      </w:pPr>
      <w:r>
        <w:rPr>
          <w:rFonts w:ascii="仿宋" w:hAnsi="仿宋" w:eastAsia="仿宋"/>
          <w:sz w:val="32"/>
          <w:szCs w:val="32"/>
        </w:rPr>
        <w:br w:type="page"/>
      </w:r>
    </w:p>
    <w:p>
      <w:pPr>
        <w:widowControl/>
        <w:jc w:val="lef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r>
        <w:rPr>
          <w:rFonts w:hint="eastAsia" w:ascii="仿宋" w:hAnsi="仿宋" w:eastAsia="仿宋"/>
          <w:sz w:val="32"/>
          <w:szCs w:val="32"/>
        </w:rPr>
        <w:t>：</w:t>
      </w:r>
    </w:p>
    <w:p>
      <w:pPr>
        <w:jc w:val="center"/>
        <w:rPr>
          <w:rFonts w:ascii="仿宋" w:hAnsi="仿宋" w:eastAsia="仿宋"/>
          <w:b/>
          <w:bCs/>
          <w:sz w:val="36"/>
          <w:szCs w:val="40"/>
        </w:rPr>
      </w:pPr>
      <w:r>
        <w:rPr>
          <w:rFonts w:hint="eastAsia" w:ascii="仿宋" w:hAnsi="仿宋" w:eastAsia="仿宋"/>
          <w:b/>
          <w:bCs/>
          <w:sz w:val="36"/>
          <w:szCs w:val="40"/>
        </w:rPr>
        <w:t>创奖申报辅导服务说明</w:t>
      </w:r>
    </w:p>
    <w:p>
      <w:pPr>
        <w:rPr>
          <w:rFonts w:ascii="仿宋" w:hAnsi="仿宋" w:eastAsia="仿宋"/>
          <w:sz w:val="10"/>
          <w:szCs w:val="10"/>
        </w:rPr>
      </w:pPr>
    </w:p>
    <w:p>
      <w:pPr>
        <w:rPr>
          <w:rFonts w:ascii="仿宋" w:hAnsi="仿宋" w:eastAsia="仿宋"/>
          <w:b/>
          <w:bCs/>
          <w:sz w:val="32"/>
          <w:szCs w:val="32"/>
        </w:rPr>
      </w:pPr>
      <w:r>
        <w:rPr>
          <w:rFonts w:hint="eastAsia" w:ascii="仿宋" w:hAnsi="仿宋" w:eastAsia="仿宋"/>
          <w:b/>
          <w:bCs/>
          <w:sz w:val="32"/>
          <w:szCs w:val="32"/>
        </w:rPr>
        <w:t>一、主要涉及奖项目录</w:t>
      </w:r>
    </w:p>
    <w:tbl>
      <w:tblPr>
        <w:tblStyle w:val="8"/>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pPr>
              <w:jc w:val="center"/>
              <w:rPr>
                <w:rFonts w:ascii="仿宋" w:hAnsi="仿宋" w:eastAsia="仿宋"/>
                <w:b/>
                <w:bCs/>
                <w:sz w:val="24"/>
                <w:szCs w:val="24"/>
              </w:rPr>
            </w:pPr>
            <w:r>
              <w:rPr>
                <w:rFonts w:hint="eastAsia" w:ascii="仿宋" w:hAnsi="仿宋" w:eastAsia="仿宋"/>
                <w:b/>
                <w:bCs/>
                <w:sz w:val="24"/>
                <w:szCs w:val="24"/>
              </w:rPr>
              <w:t>序号</w:t>
            </w:r>
          </w:p>
        </w:tc>
        <w:tc>
          <w:tcPr>
            <w:tcW w:w="2977" w:type="dxa"/>
          </w:tcPr>
          <w:p>
            <w:pPr>
              <w:jc w:val="center"/>
              <w:rPr>
                <w:rFonts w:ascii="仿宋" w:hAnsi="仿宋" w:eastAsia="仿宋"/>
                <w:b/>
                <w:bCs/>
                <w:sz w:val="24"/>
                <w:szCs w:val="24"/>
              </w:rPr>
            </w:pPr>
            <w:r>
              <w:rPr>
                <w:rFonts w:hint="eastAsia" w:ascii="仿宋" w:hAnsi="仿宋" w:eastAsia="仿宋"/>
                <w:b/>
                <w:bCs/>
                <w:sz w:val="24"/>
                <w:szCs w:val="24"/>
              </w:rPr>
              <w:t>奖项</w:t>
            </w:r>
          </w:p>
        </w:tc>
        <w:tc>
          <w:tcPr>
            <w:tcW w:w="5528" w:type="dxa"/>
          </w:tcPr>
          <w:p>
            <w:pPr>
              <w:jc w:val="center"/>
              <w:rPr>
                <w:rFonts w:ascii="仿宋" w:hAnsi="仿宋" w:eastAsia="仿宋"/>
                <w:b/>
                <w:bCs/>
                <w:sz w:val="24"/>
                <w:szCs w:val="24"/>
              </w:rPr>
            </w:pPr>
            <w:r>
              <w:rPr>
                <w:rFonts w:hint="eastAsia" w:ascii="仿宋" w:hAnsi="仿宋" w:eastAsia="仿宋"/>
                <w:b/>
                <w:bCs/>
                <w:sz w:val="24"/>
                <w:szCs w:val="24"/>
              </w:rPr>
              <w:t>设立宗旨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sz w:val="24"/>
                <w:szCs w:val="24"/>
              </w:rPr>
            </w:pPr>
            <w:r>
              <w:rPr>
                <w:rFonts w:hint="eastAsia" w:ascii="仿宋" w:hAnsi="仿宋" w:eastAsia="仿宋"/>
                <w:sz w:val="24"/>
                <w:szCs w:val="24"/>
              </w:rPr>
              <w:t>1</w:t>
            </w:r>
          </w:p>
        </w:tc>
        <w:tc>
          <w:tcPr>
            <w:tcW w:w="2977" w:type="dxa"/>
            <w:vAlign w:val="center"/>
          </w:tcPr>
          <w:p>
            <w:pPr>
              <w:jc w:val="left"/>
              <w:rPr>
                <w:rFonts w:ascii="仿宋" w:hAnsi="仿宋" w:eastAsia="仿宋"/>
                <w:b/>
                <w:bCs/>
                <w:sz w:val="24"/>
                <w:szCs w:val="24"/>
              </w:rPr>
            </w:pPr>
            <w:r>
              <w:rPr>
                <w:rFonts w:hint="eastAsia" w:ascii="仿宋" w:hAnsi="仿宋" w:eastAsia="仿宋"/>
                <w:b/>
                <w:bCs/>
                <w:sz w:val="24"/>
                <w:szCs w:val="24"/>
              </w:rPr>
              <w:t>四川土木建筑青年科技奖</w:t>
            </w:r>
          </w:p>
        </w:tc>
        <w:tc>
          <w:tcPr>
            <w:tcW w:w="5528" w:type="dxa"/>
          </w:tcPr>
          <w:p>
            <w:pPr>
              <w:jc w:val="left"/>
              <w:rPr>
                <w:rFonts w:ascii="仿宋" w:hAnsi="仿宋" w:eastAsia="仿宋"/>
                <w:sz w:val="24"/>
                <w:szCs w:val="24"/>
              </w:rPr>
            </w:pPr>
            <w:r>
              <w:rPr>
                <w:rFonts w:hint="eastAsia" w:ascii="仿宋" w:hAnsi="仿宋" w:eastAsia="仿宋"/>
                <w:sz w:val="24"/>
                <w:szCs w:val="24"/>
              </w:rPr>
              <w:t>“青年科技奖”旨在表彰奖励在推动建筑业转型升级和高质量创新发中成就突出的青年科技人才，培育选拔“四川省 青年科技奖”和“四川最美科技工作者”候选人。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2977" w:type="dxa"/>
            <w:vAlign w:val="center"/>
          </w:tcPr>
          <w:p>
            <w:pPr>
              <w:jc w:val="left"/>
              <w:rPr>
                <w:rFonts w:ascii="仿宋" w:hAnsi="仿宋" w:eastAsia="仿宋"/>
                <w:b/>
                <w:bCs/>
                <w:sz w:val="24"/>
                <w:szCs w:val="24"/>
              </w:rPr>
            </w:pPr>
            <w:r>
              <w:rPr>
                <w:rFonts w:hint="eastAsia" w:ascii="仿宋" w:hAnsi="仿宋" w:eastAsia="仿宋"/>
                <w:b/>
                <w:bCs/>
                <w:sz w:val="24"/>
                <w:szCs w:val="24"/>
              </w:rPr>
              <w:t>四川土木建筑科技进步奖</w:t>
            </w:r>
          </w:p>
        </w:tc>
        <w:tc>
          <w:tcPr>
            <w:tcW w:w="5528" w:type="dxa"/>
          </w:tcPr>
          <w:p>
            <w:pPr>
              <w:jc w:val="left"/>
              <w:rPr>
                <w:rFonts w:ascii="仿宋" w:hAnsi="仿宋" w:eastAsia="仿宋"/>
                <w:sz w:val="24"/>
                <w:szCs w:val="24"/>
              </w:rPr>
            </w:pPr>
            <w:r>
              <w:rPr>
                <w:rFonts w:hint="eastAsia" w:ascii="仿宋" w:hAnsi="仿宋" w:eastAsia="仿宋"/>
                <w:sz w:val="24"/>
                <w:szCs w:val="24"/>
              </w:rPr>
              <w:t>“科技进步奖”为奖励在四川省土木工程建设科学研究与技术进步活动中做出突出贡献的组织和个人，充分调动科学技术工作者的积极性和创造性，深入实施创新驱动发展战略，推动我省建筑科技事业蓬勃发展和社会经济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sz w:val="24"/>
                <w:szCs w:val="24"/>
              </w:rPr>
            </w:pPr>
            <w:r>
              <w:rPr>
                <w:rFonts w:hint="eastAsia" w:ascii="仿宋" w:hAnsi="仿宋" w:eastAsia="仿宋"/>
                <w:sz w:val="24"/>
                <w:szCs w:val="24"/>
              </w:rPr>
              <w:t>3</w:t>
            </w:r>
          </w:p>
        </w:tc>
        <w:tc>
          <w:tcPr>
            <w:tcW w:w="2977" w:type="dxa"/>
            <w:vAlign w:val="center"/>
          </w:tcPr>
          <w:p>
            <w:pPr>
              <w:jc w:val="left"/>
              <w:rPr>
                <w:rFonts w:ascii="仿宋" w:hAnsi="仿宋" w:eastAsia="仿宋"/>
                <w:b/>
                <w:bCs/>
                <w:sz w:val="24"/>
                <w:szCs w:val="24"/>
              </w:rPr>
            </w:pPr>
            <w:r>
              <w:rPr>
                <w:rFonts w:hint="eastAsia" w:ascii="仿宋" w:hAnsi="仿宋" w:eastAsia="仿宋"/>
                <w:b/>
                <w:bCs/>
                <w:sz w:val="24"/>
                <w:szCs w:val="24"/>
              </w:rPr>
              <w:t>四川土木工程李冰奖</w:t>
            </w:r>
          </w:p>
        </w:tc>
        <w:tc>
          <w:tcPr>
            <w:tcW w:w="5528" w:type="dxa"/>
          </w:tcPr>
          <w:p>
            <w:pPr>
              <w:jc w:val="left"/>
              <w:rPr>
                <w:rFonts w:ascii="仿宋" w:hAnsi="仿宋" w:eastAsia="仿宋"/>
                <w:sz w:val="24"/>
                <w:szCs w:val="24"/>
              </w:rPr>
            </w:pPr>
            <w:r>
              <w:rPr>
                <w:rFonts w:hint="eastAsia" w:ascii="仿宋" w:hAnsi="仿宋" w:eastAsia="仿宋"/>
                <w:sz w:val="24"/>
                <w:szCs w:val="24"/>
              </w:rPr>
              <w:t>“李冰奖”为贯彻科技兴川战略，提高工程建设水平，促进先进科技成果应用于工程实践，创造优秀的土木建筑工程，特设立该奖项。“李冰奖”是四川省土木工程项目获评“詹天佑土木工程科学技术奖”的必评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仿宋" w:hAnsi="仿宋" w:eastAsia="仿宋"/>
                <w:sz w:val="24"/>
                <w:szCs w:val="24"/>
              </w:rPr>
            </w:pPr>
            <w:r>
              <w:rPr>
                <w:rFonts w:hint="eastAsia" w:ascii="仿宋" w:hAnsi="仿宋" w:eastAsia="仿宋"/>
                <w:sz w:val="24"/>
                <w:szCs w:val="24"/>
              </w:rPr>
              <w:t>4</w:t>
            </w:r>
          </w:p>
        </w:tc>
        <w:tc>
          <w:tcPr>
            <w:tcW w:w="2977" w:type="dxa"/>
            <w:vAlign w:val="center"/>
          </w:tcPr>
          <w:p>
            <w:pPr>
              <w:jc w:val="left"/>
              <w:rPr>
                <w:rFonts w:ascii="仿宋" w:hAnsi="仿宋" w:eastAsia="仿宋"/>
                <w:b/>
                <w:bCs/>
                <w:sz w:val="24"/>
                <w:szCs w:val="24"/>
              </w:rPr>
            </w:pPr>
            <w:r>
              <w:rPr>
                <w:rFonts w:hint="eastAsia" w:ascii="仿宋" w:hAnsi="仿宋" w:eastAsia="仿宋"/>
                <w:b/>
                <w:bCs/>
                <w:sz w:val="24"/>
                <w:szCs w:val="24"/>
              </w:rPr>
              <w:t>四川土木工程李冰奖绿色建筑创新优质奖</w:t>
            </w:r>
          </w:p>
        </w:tc>
        <w:tc>
          <w:tcPr>
            <w:tcW w:w="5528" w:type="dxa"/>
          </w:tcPr>
          <w:p>
            <w:pPr>
              <w:jc w:val="left"/>
              <w:rPr>
                <w:rFonts w:ascii="仿宋" w:hAnsi="仿宋" w:eastAsia="仿宋"/>
                <w:sz w:val="24"/>
                <w:szCs w:val="24"/>
              </w:rPr>
            </w:pPr>
            <w:r>
              <w:rPr>
                <w:rFonts w:hint="eastAsia" w:ascii="仿宋" w:hAnsi="仿宋" w:eastAsia="仿宋"/>
                <w:sz w:val="24"/>
                <w:szCs w:val="24"/>
              </w:rPr>
              <w:t>“绿色建筑创新优质奖”是为贯彻科技兴川战略，落实科学发展观、促进节约资源、保护环境和建设事业可持续发展，推动我省绿色建筑高质量健康发展的奖项。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hint="eastAsia" w:ascii="仿宋" w:hAnsi="仿宋" w:eastAsia="仿宋"/>
                <w:sz w:val="24"/>
                <w:szCs w:val="24"/>
              </w:rPr>
            </w:pPr>
          </w:p>
        </w:tc>
        <w:tc>
          <w:tcPr>
            <w:tcW w:w="2977" w:type="dxa"/>
            <w:vAlign w:val="center"/>
          </w:tcPr>
          <w:p>
            <w:pPr>
              <w:jc w:val="left"/>
              <w:rPr>
                <w:rFonts w:hint="eastAsia" w:ascii="仿宋" w:hAnsi="仿宋" w:eastAsia="仿宋"/>
                <w:b/>
                <w:bCs/>
                <w:sz w:val="24"/>
                <w:szCs w:val="24"/>
              </w:rPr>
            </w:pPr>
          </w:p>
        </w:tc>
        <w:tc>
          <w:tcPr>
            <w:tcW w:w="5528" w:type="dxa"/>
          </w:tcPr>
          <w:p>
            <w:pPr>
              <w:jc w:val="left"/>
              <w:rPr>
                <w:rFonts w:hint="eastAsia" w:ascii="仿宋" w:hAnsi="仿宋" w:eastAsia="仿宋"/>
                <w:sz w:val="24"/>
                <w:szCs w:val="24"/>
              </w:rPr>
            </w:pPr>
            <w:r>
              <w:rPr>
                <w:rFonts w:hint="eastAsia" w:ascii="仿宋" w:hAnsi="仿宋" w:eastAsia="仿宋"/>
                <w:sz w:val="24"/>
                <w:szCs w:val="24"/>
              </w:rPr>
              <w:t>詹天佑大奖、茅以升建筑师、中西部杰出建筑师（工程师）</w:t>
            </w:r>
          </w:p>
        </w:tc>
      </w:tr>
    </w:tbl>
    <w:p>
      <w:pPr>
        <w:rPr>
          <w:rFonts w:ascii="仿宋" w:hAnsi="仿宋" w:eastAsia="仿宋"/>
          <w:b/>
          <w:bCs/>
          <w:sz w:val="32"/>
          <w:szCs w:val="32"/>
        </w:rPr>
      </w:pPr>
      <w:r>
        <w:rPr>
          <w:rFonts w:hint="eastAsia" w:ascii="仿宋" w:hAnsi="仿宋" w:eastAsia="仿宋"/>
          <w:b/>
          <w:bCs/>
          <w:sz w:val="32"/>
          <w:szCs w:val="32"/>
        </w:rPr>
        <w:t>二、服务内容</w:t>
      </w:r>
    </w:p>
    <w:p>
      <w:pPr>
        <w:rPr>
          <w:rFonts w:ascii="仿宋" w:hAnsi="仿宋" w:eastAsia="仿宋"/>
          <w:sz w:val="28"/>
          <w:szCs w:val="32"/>
        </w:rPr>
      </w:pPr>
      <w:r>
        <w:rPr>
          <w:rFonts w:ascii="仿宋" w:hAnsi="仿宋" w:eastAsia="仿宋"/>
          <w:sz w:val="28"/>
          <w:szCs w:val="32"/>
        </w:rPr>
        <w:t>1</w:t>
      </w:r>
      <w:r>
        <w:rPr>
          <w:rFonts w:hint="eastAsia" w:ascii="仿宋" w:hAnsi="仿宋" w:eastAsia="仿宋"/>
          <w:sz w:val="28"/>
          <w:szCs w:val="32"/>
        </w:rPr>
        <w:t>、创奖项目申报咨询服务</w:t>
      </w:r>
    </w:p>
    <w:p>
      <w:pPr>
        <w:ind w:firstLine="560" w:firstLineChars="200"/>
        <w:rPr>
          <w:rFonts w:ascii="仿宋" w:hAnsi="仿宋" w:eastAsia="仿宋"/>
          <w:sz w:val="28"/>
          <w:szCs w:val="32"/>
        </w:rPr>
      </w:pPr>
      <w:r>
        <w:rPr>
          <w:rFonts w:hint="eastAsia" w:ascii="仿宋" w:hAnsi="仿宋" w:eastAsia="仿宋"/>
          <w:sz w:val="28"/>
          <w:szCs w:val="32"/>
        </w:rPr>
        <w:t>包括建筑领域各层级创奖关联关系、评选规则、项目申报条件、项目内容、申报程序及奖励标准等内容咨询。</w:t>
      </w:r>
    </w:p>
    <w:p>
      <w:pPr>
        <w:rPr>
          <w:rFonts w:ascii="仿宋" w:hAnsi="仿宋" w:eastAsia="仿宋"/>
          <w:sz w:val="28"/>
          <w:szCs w:val="32"/>
        </w:rPr>
      </w:pPr>
      <w:r>
        <w:rPr>
          <w:rFonts w:ascii="仿宋" w:hAnsi="仿宋" w:eastAsia="仿宋"/>
          <w:sz w:val="28"/>
          <w:szCs w:val="32"/>
        </w:rPr>
        <w:t>2</w:t>
      </w:r>
      <w:r>
        <w:rPr>
          <w:rFonts w:hint="eastAsia" w:ascii="仿宋" w:hAnsi="仿宋" w:eastAsia="仿宋"/>
          <w:sz w:val="28"/>
          <w:szCs w:val="32"/>
        </w:rPr>
        <w:t>、项目申报辅导服务</w:t>
      </w:r>
    </w:p>
    <w:p>
      <w:pPr>
        <w:ind w:firstLine="560" w:firstLineChars="200"/>
        <w:rPr>
          <w:rFonts w:ascii="仿宋" w:hAnsi="仿宋" w:eastAsia="仿宋"/>
          <w:sz w:val="28"/>
          <w:szCs w:val="32"/>
        </w:rPr>
      </w:pPr>
      <w:r>
        <w:rPr>
          <w:rFonts w:hint="eastAsia" w:ascii="仿宋" w:hAnsi="仿宋" w:eastAsia="仿宋"/>
          <w:sz w:val="28"/>
          <w:szCs w:val="32"/>
        </w:rPr>
        <w:t>包括涉及奖项目录中各层级创奖申报项目甄选、申报组材辅导、申报过程辅导等。</w:t>
      </w:r>
    </w:p>
    <w:p>
      <w:pPr>
        <w:widowControl/>
        <w:jc w:val="left"/>
        <w:rPr>
          <w:rFonts w:ascii="仿宋" w:hAnsi="仿宋" w:eastAsia="仿宋"/>
          <w:sz w:val="32"/>
          <w:szCs w:val="32"/>
        </w:rPr>
      </w:pPr>
      <w:r>
        <w:rPr>
          <w:rFonts w:ascii="仿宋" w:hAnsi="仿宋" w:eastAsia="仿宋"/>
          <w:sz w:val="28"/>
          <w:szCs w:val="32"/>
        </w:rPr>
        <w:br w:type="page"/>
      </w:r>
      <w:r>
        <w:rPr>
          <w:rFonts w:hint="eastAsia" w:ascii="仿宋" w:hAnsi="仿宋" w:eastAsia="仿宋"/>
          <w:sz w:val="32"/>
          <w:szCs w:val="32"/>
        </w:rPr>
        <w:t>附件</w:t>
      </w:r>
      <w:r>
        <w:rPr>
          <w:rFonts w:ascii="仿宋" w:hAnsi="仿宋" w:eastAsia="仿宋"/>
          <w:sz w:val="32"/>
          <w:szCs w:val="32"/>
        </w:rPr>
        <w:t>3</w:t>
      </w:r>
      <w:r>
        <w:rPr>
          <w:rFonts w:hint="eastAsia" w:ascii="仿宋" w:hAnsi="仿宋" w:eastAsia="仿宋"/>
          <w:sz w:val="32"/>
          <w:szCs w:val="32"/>
        </w:rPr>
        <w:t>：</w:t>
      </w:r>
    </w:p>
    <w:p>
      <w:pPr>
        <w:jc w:val="center"/>
        <w:rPr>
          <w:rFonts w:ascii="仿宋" w:hAnsi="仿宋" w:eastAsia="仿宋"/>
          <w:b/>
          <w:bCs/>
          <w:sz w:val="36"/>
          <w:szCs w:val="40"/>
        </w:rPr>
      </w:pPr>
      <w:r>
        <w:rPr>
          <w:rFonts w:hint="eastAsia" w:ascii="仿宋" w:hAnsi="仿宋" w:eastAsia="仿宋"/>
          <w:b/>
          <w:bCs/>
          <w:sz w:val="36"/>
          <w:szCs w:val="40"/>
        </w:rPr>
        <w:t>线上继续教育服务说明</w:t>
      </w:r>
    </w:p>
    <w:p>
      <w:pPr>
        <w:rPr>
          <w:rFonts w:ascii="仿宋" w:hAnsi="仿宋" w:eastAsia="仿宋"/>
          <w:sz w:val="10"/>
          <w:szCs w:val="10"/>
        </w:rPr>
      </w:pPr>
    </w:p>
    <w:p>
      <w:pPr>
        <w:rPr>
          <w:rFonts w:ascii="仿宋" w:hAnsi="仿宋" w:eastAsia="仿宋"/>
          <w:b/>
          <w:bCs/>
          <w:sz w:val="32"/>
          <w:szCs w:val="36"/>
        </w:rPr>
      </w:pPr>
      <w:r>
        <w:rPr>
          <w:rFonts w:hint="eastAsia" w:ascii="仿宋" w:hAnsi="仿宋" w:eastAsia="仿宋"/>
          <w:b/>
          <w:bCs/>
          <w:sz w:val="32"/>
          <w:szCs w:val="36"/>
        </w:rPr>
        <w:t>一、服务概述</w:t>
      </w:r>
    </w:p>
    <w:p>
      <w:pPr>
        <w:ind w:firstLine="560" w:firstLineChars="200"/>
        <w:rPr>
          <w:rFonts w:ascii="仿宋" w:hAnsi="仿宋" w:eastAsia="仿宋"/>
          <w:sz w:val="28"/>
          <w:szCs w:val="32"/>
        </w:rPr>
      </w:pPr>
      <w:r>
        <w:rPr>
          <w:rFonts w:hint="eastAsia" w:ascii="仿宋" w:hAnsi="仿宋" w:eastAsia="仿宋"/>
          <w:sz w:val="28"/>
          <w:szCs w:val="32"/>
        </w:rPr>
        <w:t>线上继续教育是对专业技术人员进行知识更新、补充、拓展和能力提高的追加教育。线上继续教育学时包括专业科目、行业公需科目和一般公需科目。</w:t>
      </w:r>
    </w:p>
    <w:p>
      <w:pPr>
        <w:ind w:firstLine="560" w:firstLineChars="200"/>
        <w:rPr>
          <w:rFonts w:ascii="仿宋" w:hAnsi="仿宋" w:eastAsia="仿宋"/>
          <w:sz w:val="28"/>
          <w:szCs w:val="32"/>
        </w:rPr>
      </w:pPr>
      <w:r>
        <w:rPr>
          <w:rFonts w:hint="eastAsia" w:ascii="仿宋" w:hAnsi="仿宋" w:eastAsia="仿宋"/>
          <w:sz w:val="28"/>
          <w:szCs w:val="32"/>
        </w:rPr>
        <w:t>学会的线上继续教育服务主要针对建筑领域专技人才，为其提供继续教育和知识更新服务。</w:t>
      </w:r>
    </w:p>
    <w:p>
      <w:pPr>
        <w:rPr>
          <w:rFonts w:ascii="仿宋" w:hAnsi="仿宋" w:eastAsia="仿宋"/>
          <w:sz w:val="10"/>
          <w:szCs w:val="10"/>
        </w:rPr>
      </w:pPr>
    </w:p>
    <w:p>
      <w:pPr>
        <w:rPr>
          <w:rFonts w:ascii="仿宋" w:hAnsi="仿宋" w:eastAsia="仿宋"/>
          <w:b/>
          <w:bCs/>
          <w:sz w:val="32"/>
          <w:szCs w:val="36"/>
        </w:rPr>
      </w:pPr>
      <w:r>
        <w:rPr>
          <w:rFonts w:hint="eastAsia" w:ascii="仿宋" w:hAnsi="仿宋" w:eastAsia="仿宋"/>
          <w:b/>
          <w:bCs/>
          <w:sz w:val="32"/>
          <w:szCs w:val="36"/>
        </w:rPr>
        <w:t>二、服务特点</w:t>
      </w:r>
    </w:p>
    <w:p>
      <w:pPr>
        <w:ind w:firstLine="560" w:firstLineChars="200"/>
        <w:rPr>
          <w:rFonts w:ascii="仿宋" w:hAnsi="仿宋" w:eastAsia="仿宋"/>
          <w:sz w:val="28"/>
          <w:szCs w:val="32"/>
        </w:rPr>
      </w:pPr>
      <w:r>
        <w:rPr>
          <w:rFonts w:hint="eastAsia" w:ascii="仿宋" w:hAnsi="仿宋" w:eastAsia="仿宋"/>
          <w:sz w:val="28"/>
          <w:szCs w:val="32"/>
        </w:rPr>
        <w:t>课程学时：学会根据《专业技术人员继续教育规定》（人社部令第</w:t>
      </w:r>
      <w:r>
        <w:rPr>
          <w:rFonts w:ascii="仿宋" w:hAnsi="仿宋" w:eastAsia="仿宋"/>
          <w:sz w:val="28"/>
          <w:szCs w:val="32"/>
        </w:rPr>
        <w:t>25</w:t>
      </w:r>
      <w:r>
        <w:rPr>
          <w:rFonts w:hint="eastAsia" w:ascii="仿宋" w:hAnsi="仿宋" w:eastAsia="仿宋"/>
          <w:sz w:val="28"/>
          <w:szCs w:val="32"/>
        </w:rPr>
        <w:t>号）要求设置相应学时的课程，让学员在一个平台完成所有继教课程。</w:t>
      </w:r>
    </w:p>
    <w:p>
      <w:pPr>
        <w:ind w:firstLine="560" w:firstLineChars="200"/>
        <w:rPr>
          <w:rFonts w:ascii="仿宋" w:hAnsi="仿宋" w:eastAsia="仿宋"/>
          <w:sz w:val="28"/>
          <w:szCs w:val="32"/>
        </w:rPr>
      </w:pPr>
      <w:r>
        <w:rPr>
          <w:rFonts w:hint="eastAsia" w:ascii="仿宋" w:hAnsi="仿宋" w:eastAsia="仿宋"/>
          <w:sz w:val="28"/>
          <w:szCs w:val="32"/>
        </w:rPr>
        <w:t>课程设计：产品针对建筑领域专技人才的需求，课程内容包括公需课程及专业课程。其中，公需课程</w:t>
      </w:r>
      <w:r>
        <w:rPr>
          <w:rFonts w:ascii="仿宋" w:hAnsi="仿宋" w:eastAsia="仿宋"/>
          <w:sz w:val="28"/>
          <w:szCs w:val="32"/>
        </w:rPr>
        <w:t>10</w:t>
      </w:r>
      <w:r>
        <w:rPr>
          <w:rFonts w:hint="eastAsia" w:ascii="仿宋" w:hAnsi="仿宋" w:eastAsia="仿宋"/>
          <w:sz w:val="28"/>
          <w:szCs w:val="32"/>
        </w:rPr>
        <w:t>课时以上，专业课程6</w:t>
      </w:r>
      <w:r>
        <w:rPr>
          <w:rFonts w:ascii="仿宋" w:hAnsi="仿宋" w:eastAsia="仿宋"/>
          <w:sz w:val="28"/>
          <w:szCs w:val="32"/>
        </w:rPr>
        <w:t>0</w:t>
      </w:r>
      <w:r>
        <w:rPr>
          <w:rFonts w:hint="eastAsia" w:ascii="仿宋" w:hAnsi="仿宋" w:eastAsia="仿宋"/>
          <w:sz w:val="28"/>
          <w:szCs w:val="32"/>
        </w:rPr>
        <w:t>课时以上，涵盖建筑设计、施工管理、建筑材料、绿色建筑等方面的课程，提升专技人才的综合能力和专业素养。</w:t>
      </w:r>
    </w:p>
    <w:p>
      <w:pPr>
        <w:ind w:firstLine="560" w:firstLineChars="200"/>
        <w:rPr>
          <w:rFonts w:ascii="仿宋" w:hAnsi="仿宋" w:eastAsia="仿宋"/>
          <w:sz w:val="28"/>
          <w:szCs w:val="32"/>
        </w:rPr>
      </w:pPr>
      <w:r>
        <w:rPr>
          <w:rFonts w:hint="eastAsia" w:ascii="仿宋" w:hAnsi="仿宋" w:eastAsia="仿宋"/>
          <w:sz w:val="28"/>
          <w:szCs w:val="32"/>
        </w:rPr>
        <w:t>实战案例教学：产品采用实战案例教学方式，通过分析实际工程案例，使学员能够深入理解和掌握建筑领域专技知识和实践技能。</w:t>
      </w:r>
    </w:p>
    <w:p>
      <w:pPr>
        <w:ind w:firstLine="560" w:firstLineChars="200"/>
        <w:rPr>
          <w:rFonts w:ascii="仿宋" w:hAnsi="仿宋" w:eastAsia="仿宋"/>
          <w:b/>
          <w:bCs/>
          <w:sz w:val="28"/>
          <w:szCs w:val="32"/>
        </w:rPr>
      </w:pPr>
      <w:r>
        <w:rPr>
          <w:rFonts w:hint="eastAsia" w:ascii="仿宋" w:hAnsi="仿宋" w:eastAsia="仿宋"/>
          <w:sz w:val="28"/>
          <w:szCs w:val="32"/>
        </w:rPr>
        <w:t>专业讲师授课：产品由具有丰富实践经验和教学经验的建筑领域专业专家录制，均具有高级工程师以上职称，确保教学质量和效果。课程内容针对岗位特点，贴近工程实际，涵盖行业新法律、新标准、新工艺、新技术等内容。</w:t>
      </w:r>
    </w:p>
    <w:p>
      <w:pPr>
        <w:ind w:firstLine="560" w:firstLineChars="200"/>
        <w:rPr>
          <w:rFonts w:ascii="仿宋" w:hAnsi="仿宋" w:eastAsia="仿宋"/>
          <w:sz w:val="28"/>
          <w:szCs w:val="32"/>
        </w:rPr>
      </w:pPr>
      <w:r>
        <w:rPr>
          <w:rFonts w:hint="eastAsia" w:ascii="仿宋" w:hAnsi="仿宋" w:eastAsia="仿宋"/>
          <w:sz w:val="28"/>
          <w:szCs w:val="32"/>
        </w:rPr>
        <w:t>在线学习平台：产品提供在线学习平台，学员可随时随地学习，不受时间和地点的限制。</w:t>
      </w:r>
    </w:p>
    <w:p>
      <w:pPr>
        <w:rPr>
          <w:rFonts w:ascii="仿宋" w:hAnsi="仿宋" w:eastAsia="仿宋"/>
          <w:sz w:val="10"/>
          <w:szCs w:val="10"/>
        </w:rPr>
      </w:pPr>
    </w:p>
    <w:p>
      <w:pPr>
        <w:rPr>
          <w:rFonts w:ascii="仿宋" w:hAnsi="仿宋" w:eastAsia="仿宋"/>
          <w:b/>
          <w:bCs/>
          <w:sz w:val="32"/>
          <w:szCs w:val="36"/>
        </w:rPr>
      </w:pPr>
      <w:r>
        <w:rPr>
          <w:rFonts w:hint="eastAsia" w:ascii="仿宋" w:hAnsi="仿宋" w:eastAsia="仿宋"/>
          <w:b/>
          <w:bCs/>
          <w:sz w:val="32"/>
          <w:szCs w:val="36"/>
        </w:rPr>
        <w:t>三、使用方法</w:t>
      </w:r>
    </w:p>
    <w:p>
      <w:pPr>
        <w:ind w:firstLine="560" w:firstLineChars="200"/>
        <w:rPr>
          <w:rFonts w:ascii="仿宋" w:hAnsi="仿宋" w:eastAsia="仿宋"/>
          <w:sz w:val="28"/>
          <w:szCs w:val="32"/>
        </w:rPr>
      </w:pPr>
      <w:r>
        <w:rPr>
          <w:rFonts w:hint="eastAsia" w:ascii="仿宋" w:hAnsi="仿宋" w:eastAsia="仿宋"/>
          <w:sz w:val="28"/>
          <w:szCs w:val="32"/>
        </w:rPr>
        <w:t>登录学习平台：学员注册实名帐号并使用账号和密码登录在线学习平台。</w:t>
      </w:r>
    </w:p>
    <w:p>
      <w:pPr>
        <w:ind w:firstLine="560" w:firstLineChars="200"/>
        <w:rPr>
          <w:rFonts w:ascii="仿宋" w:hAnsi="仿宋" w:eastAsia="仿宋"/>
          <w:sz w:val="28"/>
          <w:szCs w:val="32"/>
        </w:rPr>
      </w:pPr>
      <w:r>
        <w:rPr>
          <w:rFonts w:hint="eastAsia" w:ascii="仿宋" w:hAnsi="仿宋" w:eastAsia="仿宋"/>
          <w:sz w:val="28"/>
          <w:szCs w:val="32"/>
        </w:rPr>
        <w:t>选择课程：学员根据自身职业发展需求选择相应的课程进行学习。</w:t>
      </w:r>
    </w:p>
    <w:p>
      <w:pPr>
        <w:ind w:firstLine="560" w:firstLineChars="200"/>
        <w:rPr>
          <w:rFonts w:ascii="仿宋" w:hAnsi="仿宋" w:eastAsia="仿宋"/>
          <w:sz w:val="28"/>
          <w:szCs w:val="32"/>
        </w:rPr>
      </w:pPr>
      <w:r>
        <w:rPr>
          <w:rFonts w:hint="eastAsia" w:ascii="仿宋" w:hAnsi="仿宋" w:eastAsia="仿宋"/>
          <w:sz w:val="28"/>
          <w:szCs w:val="32"/>
        </w:rPr>
        <w:t>学习课程：学员可在线观看课程视频、阅读相关资料，完成课程学习。</w:t>
      </w:r>
    </w:p>
    <w:p>
      <w:pPr>
        <w:ind w:firstLine="560" w:firstLineChars="200"/>
        <w:rPr>
          <w:rFonts w:ascii="仿宋" w:hAnsi="仿宋" w:eastAsia="仿宋"/>
          <w:sz w:val="28"/>
          <w:szCs w:val="32"/>
        </w:rPr>
      </w:pPr>
      <w:r>
        <w:rPr>
          <w:rFonts w:hint="eastAsia" w:ascii="仿宋" w:hAnsi="仿宋" w:eastAsia="仿宋"/>
          <w:sz w:val="28"/>
          <w:szCs w:val="32"/>
        </w:rPr>
        <w:t>学时记录：学员的课程学习的情况，平台系统会进行完整记录，并形成学时记录统计单。</w:t>
      </w:r>
      <w:r>
        <w:rPr>
          <w:rFonts w:ascii="仿宋" w:hAnsi="仿宋" w:eastAsia="仿宋"/>
          <w:sz w:val="28"/>
          <w:szCs w:val="32"/>
        </w:rPr>
        <w:t xml:space="preserve"> </w:t>
      </w:r>
    </w:p>
    <w:p>
      <w:pPr>
        <w:ind w:firstLine="560" w:firstLineChars="200"/>
        <w:rPr>
          <w:rFonts w:ascii="仿宋" w:hAnsi="仿宋" w:eastAsia="仿宋"/>
          <w:sz w:val="28"/>
          <w:szCs w:val="32"/>
        </w:rPr>
      </w:pPr>
      <w:r>
        <w:rPr>
          <w:rFonts w:hint="eastAsia" w:ascii="仿宋" w:hAnsi="仿宋" w:eastAsia="仿宋"/>
          <w:sz w:val="28"/>
          <w:szCs w:val="32"/>
        </w:rPr>
        <w:t>学时证明：学会可根据每位学员参与继教课程学习的真实情况，应学员要求，出具相应学时证明文件。</w:t>
      </w:r>
    </w:p>
    <w:p>
      <w:pPr>
        <w:rPr>
          <w:rFonts w:ascii="仿宋" w:hAnsi="仿宋" w:eastAsia="仿宋"/>
          <w:sz w:val="10"/>
          <w:szCs w:val="10"/>
        </w:rPr>
      </w:pPr>
    </w:p>
    <w:p>
      <w:pPr>
        <w:rPr>
          <w:rFonts w:ascii="仿宋" w:hAnsi="仿宋" w:eastAsia="仿宋"/>
          <w:b/>
          <w:bCs/>
          <w:sz w:val="32"/>
          <w:szCs w:val="36"/>
        </w:rPr>
      </w:pPr>
      <w:r>
        <w:rPr>
          <w:rFonts w:hint="eastAsia" w:ascii="仿宋" w:hAnsi="仿宋" w:eastAsia="仿宋"/>
          <w:b/>
          <w:bCs/>
          <w:sz w:val="32"/>
          <w:szCs w:val="36"/>
        </w:rPr>
        <w:t>四、线上课程收费说明</w:t>
      </w:r>
    </w:p>
    <w:p>
      <w:pPr>
        <w:pStyle w:val="12"/>
        <w:numPr>
          <w:ilvl w:val="0"/>
          <w:numId w:val="1"/>
        </w:numPr>
        <w:ind w:left="993" w:hanging="426" w:firstLineChars="0"/>
        <w:jc w:val="left"/>
        <w:rPr>
          <w:rFonts w:ascii="仿宋" w:hAnsi="仿宋" w:eastAsia="仿宋"/>
          <w:sz w:val="28"/>
          <w:szCs w:val="32"/>
        </w:rPr>
      </w:pPr>
      <w:r>
        <w:rPr>
          <w:rFonts w:hint="eastAsia" w:ascii="仿宋" w:hAnsi="仿宋" w:eastAsia="仿宋"/>
          <w:sz w:val="28"/>
          <w:szCs w:val="32"/>
        </w:rPr>
        <w:t>公需课程为免费课程：学员可使用登录帐号进行免费学习；</w:t>
      </w:r>
    </w:p>
    <w:p>
      <w:pPr>
        <w:pStyle w:val="12"/>
        <w:numPr>
          <w:ilvl w:val="0"/>
          <w:numId w:val="1"/>
        </w:numPr>
        <w:ind w:left="993" w:hanging="426" w:firstLineChars="0"/>
        <w:jc w:val="left"/>
        <w:rPr>
          <w:rFonts w:ascii="仿宋" w:hAnsi="仿宋" w:eastAsia="仿宋"/>
          <w:sz w:val="28"/>
          <w:szCs w:val="32"/>
        </w:rPr>
      </w:pPr>
      <w:r>
        <w:rPr>
          <w:rFonts w:hint="eastAsia" w:ascii="仿宋" w:hAnsi="仿宋" w:eastAsia="仿宋"/>
          <w:sz w:val="28"/>
          <w:szCs w:val="32"/>
        </w:rPr>
        <w:t>专业课程为收费课程，学员可使用登录帐号进行自主线上订购并学习，目前定价为6</w:t>
      </w:r>
      <w:r>
        <w:rPr>
          <w:rFonts w:ascii="仿宋" w:hAnsi="仿宋" w:eastAsia="仿宋"/>
          <w:sz w:val="28"/>
          <w:szCs w:val="32"/>
        </w:rPr>
        <w:t>.5</w:t>
      </w:r>
      <w:r>
        <w:rPr>
          <w:rFonts w:hint="eastAsia" w:ascii="仿宋" w:hAnsi="仿宋" w:eastAsia="仿宋"/>
          <w:sz w:val="28"/>
          <w:szCs w:val="32"/>
        </w:rPr>
        <w:t>元/课时，课时费主要用于支付平台服务费、专家讲师顾问费及数据维护费；</w:t>
      </w:r>
    </w:p>
    <w:p>
      <w:pPr>
        <w:widowControl/>
        <w:jc w:val="left"/>
        <w:rPr>
          <w:rFonts w:ascii="仿宋" w:hAnsi="仿宋" w:eastAsia="仿宋"/>
          <w:sz w:val="32"/>
          <w:szCs w:val="32"/>
        </w:rPr>
      </w:pPr>
      <w:r>
        <w:rPr>
          <w:rFonts w:ascii="仿宋" w:hAnsi="仿宋" w:eastAsia="仿宋"/>
          <w:sz w:val="32"/>
          <w:szCs w:val="32"/>
        </w:rPr>
        <w:br w:type="page"/>
      </w:r>
    </w:p>
    <w:p>
      <w:pPr>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4</w:t>
      </w:r>
    </w:p>
    <w:p>
      <w:pPr>
        <w:spacing w:after="240"/>
        <w:jc w:val="center"/>
        <w:rPr>
          <w:rFonts w:ascii="仿宋" w:hAnsi="仿宋" w:eastAsia="仿宋"/>
          <w:b/>
          <w:bCs/>
          <w:sz w:val="32"/>
          <w:szCs w:val="36"/>
        </w:rPr>
      </w:pPr>
      <w:r>
        <w:rPr>
          <w:rFonts w:hint="eastAsia" w:ascii="仿宋" w:hAnsi="仿宋" w:eastAsia="仿宋"/>
          <w:b/>
          <w:bCs/>
          <w:sz w:val="32"/>
          <w:szCs w:val="36"/>
        </w:rPr>
        <w:t>项目经理职业能力提升服务说明</w:t>
      </w:r>
    </w:p>
    <w:p>
      <w:pPr>
        <w:rPr>
          <w:rFonts w:ascii="仿宋" w:hAnsi="仿宋" w:eastAsia="仿宋"/>
          <w:b/>
          <w:bCs/>
          <w:sz w:val="32"/>
          <w:szCs w:val="36"/>
        </w:rPr>
      </w:pPr>
      <w:r>
        <w:rPr>
          <w:rFonts w:hint="eastAsia" w:ascii="仿宋" w:hAnsi="仿宋" w:eastAsia="仿宋"/>
          <w:b/>
          <w:bCs/>
          <w:sz w:val="32"/>
          <w:szCs w:val="36"/>
        </w:rPr>
        <w:t>一、服务概述</w:t>
      </w:r>
    </w:p>
    <w:p>
      <w:pPr>
        <w:ind w:firstLine="560" w:firstLineChars="200"/>
        <w:rPr>
          <w:rFonts w:ascii="仿宋" w:hAnsi="仿宋" w:eastAsia="仿宋"/>
          <w:sz w:val="28"/>
          <w:szCs w:val="32"/>
        </w:rPr>
      </w:pPr>
      <w:r>
        <w:rPr>
          <w:rFonts w:hint="eastAsia" w:ascii="仿宋" w:hAnsi="仿宋" w:eastAsia="仿宋"/>
          <w:sz w:val="28"/>
          <w:szCs w:val="32"/>
        </w:rPr>
        <w:t>项目经理职业能力提升服务是为建筑领域项目经理们在进行知识更新、补充、拓展、技能提升等方面综合职业能力提升时提供的专属的轻订制辅导服务。</w:t>
      </w:r>
    </w:p>
    <w:p>
      <w:pPr>
        <w:spacing w:after="240"/>
        <w:ind w:firstLine="560" w:firstLineChars="200"/>
        <w:rPr>
          <w:rFonts w:ascii="仿宋" w:hAnsi="仿宋" w:eastAsia="仿宋"/>
          <w:sz w:val="10"/>
          <w:szCs w:val="10"/>
        </w:rPr>
      </w:pPr>
      <w:r>
        <w:rPr>
          <w:rFonts w:hint="eastAsia" w:ascii="仿宋" w:hAnsi="仿宋" w:eastAsia="仿宋"/>
          <w:sz w:val="28"/>
          <w:szCs w:val="32"/>
        </w:rPr>
        <w:t>学会根据会员单位或项管公司具体的项目特点及项目经理个人需求情况，提供与之匹配的相对个性化的辅导服务。</w:t>
      </w:r>
    </w:p>
    <w:p>
      <w:pPr>
        <w:rPr>
          <w:rFonts w:ascii="仿宋" w:hAnsi="仿宋" w:eastAsia="仿宋"/>
          <w:b/>
          <w:bCs/>
          <w:sz w:val="32"/>
          <w:szCs w:val="36"/>
        </w:rPr>
      </w:pPr>
      <w:r>
        <w:rPr>
          <w:rFonts w:hint="eastAsia" w:ascii="仿宋" w:hAnsi="仿宋" w:eastAsia="仿宋"/>
          <w:b/>
          <w:bCs/>
          <w:sz w:val="32"/>
          <w:szCs w:val="36"/>
        </w:rPr>
        <w:t>二、服务特点</w:t>
      </w:r>
    </w:p>
    <w:p>
      <w:pPr>
        <w:ind w:firstLine="560" w:firstLineChars="200"/>
        <w:rPr>
          <w:rFonts w:ascii="仿宋" w:hAnsi="仿宋" w:eastAsia="仿宋"/>
          <w:sz w:val="28"/>
          <w:szCs w:val="32"/>
        </w:rPr>
      </w:pPr>
      <w:r>
        <w:rPr>
          <w:rFonts w:hint="eastAsia" w:ascii="仿宋" w:hAnsi="仿宋" w:eastAsia="仿宋"/>
          <w:sz w:val="28"/>
          <w:szCs w:val="32"/>
        </w:rPr>
        <w:t>服务个性化：服务目标确认后，学会将根据具体服务目标要求匹配专属辅导专家，辅导专家将根据具体的项目特点、项目经理个人特征制定具体的有明确指向性的服务内容及方式。</w:t>
      </w:r>
    </w:p>
    <w:p>
      <w:pPr>
        <w:spacing w:after="240"/>
        <w:ind w:firstLine="560" w:firstLineChars="200"/>
        <w:rPr>
          <w:rFonts w:ascii="仿宋" w:hAnsi="仿宋" w:eastAsia="仿宋"/>
          <w:sz w:val="10"/>
          <w:szCs w:val="10"/>
        </w:rPr>
      </w:pPr>
      <w:r>
        <w:rPr>
          <w:rFonts w:hint="eastAsia" w:ascii="仿宋" w:hAnsi="仿宋" w:eastAsia="仿宋"/>
          <w:sz w:val="28"/>
          <w:szCs w:val="32"/>
        </w:rPr>
        <w:t>内容系统化：具体的服务内容及方式将由服务订制单位或个人与辅导专家共同敲定，理论结合实际。根据需求特点，内容及方式可包括集中式理论培训、项目施工现场辅导、项目过程辅导及咨询、项目经理职业能力综合评估与规划建议等。</w:t>
      </w:r>
    </w:p>
    <w:p>
      <w:pPr>
        <w:rPr>
          <w:rFonts w:ascii="仿宋" w:hAnsi="仿宋" w:eastAsia="仿宋"/>
          <w:b/>
          <w:bCs/>
          <w:sz w:val="32"/>
          <w:szCs w:val="36"/>
        </w:rPr>
      </w:pPr>
      <w:r>
        <w:rPr>
          <w:rFonts w:hint="eastAsia" w:ascii="仿宋" w:hAnsi="仿宋" w:eastAsia="仿宋"/>
          <w:b/>
          <w:bCs/>
          <w:sz w:val="32"/>
          <w:szCs w:val="36"/>
        </w:rPr>
        <w:t>三、服务保障</w:t>
      </w:r>
    </w:p>
    <w:p>
      <w:pPr>
        <w:ind w:firstLine="560" w:firstLineChars="200"/>
        <w:rPr>
          <w:rFonts w:ascii="仿宋" w:hAnsi="仿宋" w:eastAsia="仿宋"/>
          <w:sz w:val="28"/>
          <w:szCs w:val="32"/>
        </w:rPr>
      </w:pPr>
      <w:r>
        <w:rPr>
          <w:rFonts w:hint="eastAsia" w:ascii="仿宋" w:hAnsi="仿宋" w:eastAsia="仿宋"/>
          <w:sz w:val="28"/>
          <w:szCs w:val="32"/>
        </w:rPr>
        <w:t>技术保障：学会自有专家库，涵盖目前四川省建筑行业绝大部分专家，有能力有条件迅速针对具体项目、具体人员组建服务工作组。</w:t>
      </w:r>
    </w:p>
    <w:p>
      <w:pPr>
        <w:spacing w:after="240"/>
        <w:ind w:firstLine="560" w:firstLineChars="200"/>
        <w:rPr>
          <w:rFonts w:ascii="仿宋" w:hAnsi="仿宋" w:eastAsia="仿宋"/>
          <w:sz w:val="10"/>
          <w:szCs w:val="10"/>
        </w:rPr>
      </w:pPr>
      <w:r>
        <w:rPr>
          <w:rFonts w:hint="eastAsia" w:ascii="仿宋" w:hAnsi="仿宋" w:eastAsia="仿宋"/>
          <w:sz w:val="28"/>
          <w:szCs w:val="32"/>
        </w:rPr>
        <w:t>服务质量保障：学会与服务专家与服务企业签署三方合同，配置专属项目服务专员对辅导服务全过程进行标准化监理服务，对服务质量存在问题的服务内容可进行有效的调配、管理。</w:t>
      </w:r>
    </w:p>
    <w:p>
      <w:pPr>
        <w:rPr>
          <w:rFonts w:ascii="仿宋" w:hAnsi="仿宋" w:eastAsia="仿宋"/>
          <w:b/>
          <w:bCs/>
          <w:sz w:val="32"/>
          <w:szCs w:val="36"/>
        </w:rPr>
      </w:pPr>
      <w:r>
        <w:rPr>
          <w:rFonts w:hint="eastAsia" w:ascii="仿宋" w:hAnsi="仿宋" w:eastAsia="仿宋"/>
          <w:b/>
          <w:bCs/>
          <w:sz w:val="32"/>
          <w:szCs w:val="36"/>
        </w:rPr>
        <w:t>四、服务费用确认及支付说明</w:t>
      </w:r>
    </w:p>
    <w:p>
      <w:pPr>
        <w:pStyle w:val="12"/>
        <w:numPr>
          <w:ilvl w:val="0"/>
          <w:numId w:val="2"/>
        </w:numPr>
        <w:ind w:left="567" w:hanging="425" w:firstLineChars="0"/>
        <w:rPr>
          <w:rFonts w:ascii="仿宋" w:hAnsi="仿宋" w:eastAsia="仿宋"/>
          <w:sz w:val="28"/>
          <w:szCs w:val="32"/>
        </w:rPr>
      </w:pPr>
      <w:r>
        <w:rPr>
          <w:rFonts w:hint="eastAsia" w:ascii="仿宋" w:hAnsi="仿宋" w:eastAsia="仿宋"/>
          <w:sz w:val="28"/>
          <w:szCs w:val="32"/>
        </w:rPr>
        <w:t>该项服务收费主要用于支付服务工作组成员在开展服务工作过程中产生的咨询、辅导、差旅、办公、顾问、测评、监管等相关费用；</w:t>
      </w:r>
    </w:p>
    <w:p>
      <w:pPr>
        <w:pStyle w:val="12"/>
        <w:numPr>
          <w:ilvl w:val="0"/>
          <w:numId w:val="2"/>
        </w:numPr>
        <w:ind w:left="567" w:hanging="425" w:firstLineChars="0"/>
        <w:rPr>
          <w:rFonts w:ascii="仿宋" w:hAnsi="仿宋" w:eastAsia="仿宋"/>
          <w:sz w:val="28"/>
          <w:szCs w:val="32"/>
        </w:rPr>
      </w:pPr>
      <w:r>
        <w:rPr>
          <w:rFonts w:hint="eastAsia" w:ascii="仿宋" w:hAnsi="仿宋" w:eastAsia="仿宋"/>
          <w:sz w:val="28"/>
          <w:szCs w:val="32"/>
        </w:rPr>
        <w:t>收费金额根据具体的服务内容及方式，由学会、服务对象、服务专家组成员协商确认，汇同具体服务内容及方式一并写入三方服务合同内；</w:t>
      </w:r>
    </w:p>
    <w:p>
      <w:pPr>
        <w:pStyle w:val="12"/>
        <w:numPr>
          <w:ilvl w:val="0"/>
          <w:numId w:val="2"/>
        </w:numPr>
        <w:ind w:left="567" w:hanging="425" w:firstLineChars="0"/>
        <w:rPr>
          <w:rFonts w:ascii="仿宋" w:hAnsi="仿宋" w:eastAsia="仿宋"/>
          <w:sz w:val="28"/>
          <w:szCs w:val="32"/>
        </w:rPr>
      </w:pPr>
      <w:r>
        <w:rPr>
          <w:rFonts w:hint="eastAsia" w:ascii="仿宋" w:hAnsi="仿宋" w:eastAsia="仿宋"/>
          <w:sz w:val="28"/>
          <w:szCs w:val="32"/>
        </w:rPr>
        <w:t>服务费在服务合同签订后，由服务对象支付给土木学会统管。根据具体的服务内容，在由学会配置的项目专属服务专员向服务对象及服务专家双方确认服务质量度达标后，学会再向服务专家成员进行支付相关费用；</w:t>
      </w:r>
    </w:p>
    <w:sectPr>
      <w:footerReference r:id="rId3" w:type="default"/>
      <w:pgSz w:w="11906" w:h="16838"/>
      <w:pgMar w:top="1440" w:right="1800" w:bottom="1440" w:left="1800"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799341"/>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67B25"/>
    <w:multiLevelType w:val="multilevel"/>
    <w:tmpl w:val="1A067B25"/>
    <w:lvl w:ilvl="0" w:tentative="0">
      <w:start w:val="1"/>
      <w:numFmt w:val="decimal"/>
      <w:lvlText w:val="%1、"/>
      <w:lvlJc w:val="left"/>
      <w:pPr>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6FC7DAC"/>
    <w:multiLevelType w:val="multilevel"/>
    <w:tmpl w:val="46FC7DAC"/>
    <w:lvl w:ilvl="0" w:tentative="0">
      <w:start w:val="1"/>
      <w:numFmt w:val="decimal"/>
      <w:lvlText w:val="%1、"/>
      <w:lvlJc w:val="left"/>
      <w:pPr>
        <w:ind w:left="1007" w:hanging="440"/>
      </w:pPr>
      <w:rPr>
        <w:rFonts w:hint="default"/>
      </w:rPr>
    </w:lvl>
    <w:lvl w:ilvl="1" w:tentative="0">
      <w:start w:val="1"/>
      <w:numFmt w:val="lowerLetter"/>
      <w:lvlText w:val="%2)"/>
      <w:lvlJc w:val="left"/>
      <w:pPr>
        <w:ind w:left="1447" w:hanging="440"/>
      </w:pPr>
    </w:lvl>
    <w:lvl w:ilvl="2" w:tentative="0">
      <w:start w:val="1"/>
      <w:numFmt w:val="lowerRoman"/>
      <w:lvlText w:val="%3."/>
      <w:lvlJc w:val="right"/>
      <w:pPr>
        <w:ind w:left="1887" w:hanging="440"/>
      </w:pPr>
    </w:lvl>
    <w:lvl w:ilvl="3" w:tentative="0">
      <w:start w:val="1"/>
      <w:numFmt w:val="decimal"/>
      <w:lvlText w:val="%4."/>
      <w:lvlJc w:val="left"/>
      <w:pPr>
        <w:ind w:left="2327" w:hanging="440"/>
      </w:pPr>
    </w:lvl>
    <w:lvl w:ilvl="4" w:tentative="0">
      <w:start w:val="1"/>
      <w:numFmt w:val="lowerLetter"/>
      <w:lvlText w:val="%5)"/>
      <w:lvlJc w:val="left"/>
      <w:pPr>
        <w:ind w:left="2767" w:hanging="440"/>
      </w:pPr>
    </w:lvl>
    <w:lvl w:ilvl="5" w:tentative="0">
      <w:start w:val="1"/>
      <w:numFmt w:val="lowerRoman"/>
      <w:lvlText w:val="%6."/>
      <w:lvlJc w:val="right"/>
      <w:pPr>
        <w:ind w:left="3207" w:hanging="440"/>
      </w:pPr>
    </w:lvl>
    <w:lvl w:ilvl="6" w:tentative="0">
      <w:start w:val="1"/>
      <w:numFmt w:val="decimal"/>
      <w:lvlText w:val="%7."/>
      <w:lvlJc w:val="left"/>
      <w:pPr>
        <w:ind w:left="3647" w:hanging="440"/>
      </w:pPr>
    </w:lvl>
    <w:lvl w:ilvl="7" w:tentative="0">
      <w:start w:val="1"/>
      <w:numFmt w:val="lowerLetter"/>
      <w:lvlText w:val="%8)"/>
      <w:lvlJc w:val="left"/>
      <w:pPr>
        <w:ind w:left="4087" w:hanging="440"/>
      </w:pPr>
    </w:lvl>
    <w:lvl w:ilvl="8" w:tentative="0">
      <w:start w:val="1"/>
      <w:numFmt w:val="lowerRoman"/>
      <w:lvlText w:val="%9."/>
      <w:lvlJc w:val="right"/>
      <w:pPr>
        <w:ind w:left="4527"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0NDY0YzhlODZlYzQ2NzRlYjVhMTI4ZDFiNDFhOTYifQ=="/>
  </w:docVars>
  <w:rsids>
    <w:rsidRoot w:val="003C4197"/>
    <w:rsid w:val="00032CF2"/>
    <w:rsid w:val="00050C5A"/>
    <w:rsid w:val="00084397"/>
    <w:rsid w:val="00087254"/>
    <w:rsid w:val="000C334D"/>
    <w:rsid w:val="0011767E"/>
    <w:rsid w:val="001C0846"/>
    <w:rsid w:val="001C214E"/>
    <w:rsid w:val="0022091D"/>
    <w:rsid w:val="00221057"/>
    <w:rsid w:val="00224BAE"/>
    <w:rsid w:val="00344E8A"/>
    <w:rsid w:val="003C4197"/>
    <w:rsid w:val="00415DE8"/>
    <w:rsid w:val="0041629E"/>
    <w:rsid w:val="00441A0F"/>
    <w:rsid w:val="004609DD"/>
    <w:rsid w:val="004D29C7"/>
    <w:rsid w:val="004D3F95"/>
    <w:rsid w:val="004E7B03"/>
    <w:rsid w:val="00536BF3"/>
    <w:rsid w:val="005575EA"/>
    <w:rsid w:val="0056252A"/>
    <w:rsid w:val="00571BC3"/>
    <w:rsid w:val="005721DA"/>
    <w:rsid w:val="005C65A8"/>
    <w:rsid w:val="00606047"/>
    <w:rsid w:val="00654191"/>
    <w:rsid w:val="006743F7"/>
    <w:rsid w:val="006A3896"/>
    <w:rsid w:val="006E2056"/>
    <w:rsid w:val="00713ADB"/>
    <w:rsid w:val="00763D61"/>
    <w:rsid w:val="007B0016"/>
    <w:rsid w:val="007B16B6"/>
    <w:rsid w:val="007D1B25"/>
    <w:rsid w:val="007F694A"/>
    <w:rsid w:val="00814ECB"/>
    <w:rsid w:val="008353BE"/>
    <w:rsid w:val="00842808"/>
    <w:rsid w:val="0087409F"/>
    <w:rsid w:val="008900E5"/>
    <w:rsid w:val="00895B99"/>
    <w:rsid w:val="008F0935"/>
    <w:rsid w:val="008F2910"/>
    <w:rsid w:val="00927989"/>
    <w:rsid w:val="00957F47"/>
    <w:rsid w:val="00977BB0"/>
    <w:rsid w:val="009965DD"/>
    <w:rsid w:val="009C08AE"/>
    <w:rsid w:val="009C377E"/>
    <w:rsid w:val="009D0C74"/>
    <w:rsid w:val="009D6EF3"/>
    <w:rsid w:val="00A15E05"/>
    <w:rsid w:val="00A608F4"/>
    <w:rsid w:val="00AA08A5"/>
    <w:rsid w:val="00AA66D4"/>
    <w:rsid w:val="00AC51C8"/>
    <w:rsid w:val="00B23D8F"/>
    <w:rsid w:val="00B40E5F"/>
    <w:rsid w:val="00B857CD"/>
    <w:rsid w:val="00BE2109"/>
    <w:rsid w:val="00C55D15"/>
    <w:rsid w:val="00DD0FA0"/>
    <w:rsid w:val="00DF385B"/>
    <w:rsid w:val="00E37744"/>
    <w:rsid w:val="00EA6CD8"/>
    <w:rsid w:val="00EE1200"/>
    <w:rsid w:val="00F55B50"/>
    <w:rsid w:val="00FB3F0D"/>
    <w:rsid w:val="00FC4B22"/>
    <w:rsid w:val="0E4A53E7"/>
    <w:rsid w:val="4CF93812"/>
    <w:rsid w:val="4FFFD760"/>
    <w:rsid w:val="58BE7724"/>
    <w:rsid w:val="FF7FF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9"/>
    <w:link w:val="2"/>
    <w:semiHidden/>
    <w:qFormat/>
    <w:uiPriority w:val="99"/>
  </w:style>
  <w:style w:type="character" w:customStyle="1" w:styleId="14">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399</Words>
  <Characters>2280</Characters>
  <Lines>19</Lines>
  <Paragraphs>5</Paragraphs>
  <TotalTime>0</TotalTime>
  <ScaleCrop>false</ScaleCrop>
  <LinksUpToDate>false</LinksUpToDate>
  <CharactersWithSpaces>2674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2023-11-27T18:25:00Z</dcterms:created>
  <dc:creator>lenovo</dc:creator>
  <cp:lastModifiedBy>Lemon云～</cp:lastModifiedBy>
  <cp:lastPrinted>2023-12-01T22:56:00Z</cp:lastPrinted>
  <dcterms:modified xsi:type="dcterms:W3CDTF">2023-12-15T07:51:04Z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53EEE3D677BE4E01AC8DD85B29E9FF1D_13</vt:lpwstr>
  </property>
</Properties>
</file>